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5C4E3E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Pr="00F70346" w:rsidRDefault="00255B89" w:rsidP="00F70346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</w:t>
      </w:r>
      <w:r w:rsidR="00F70346">
        <w:rPr>
          <w:rFonts w:ascii="Times New Roman" w:hAnsi="Times New Roman" w:cs="Times New Roman"/>
          <w:sz w:val="24"/>
          <w:szCs w:val="24"/>
        </w:rPr>
        <w:t>/а</w:t>
      </w:r>
      <w:r>
        <w:rPr>
          <w:rFonts w:ascii="Times New Roman" w:hAnsi="Times New Roman" w:cs="Times New Roman"/>
          <w:sz w:val="24"/>
          <w:szCs w:val="24"/>
        </w:rPr>
        <w:t xml:space="preserve"> в подготовката на процедурата за предоставяне на безвъзмездна финансова помощ</w:t>
      </w:r>
      <w:r w:rsidR="00F70346">
        <w:rPr>
          <w:rFonts w:ascii="Times New Roman" w:hAnsi="Times New Roman" w:cs="Times New Roman"/>
          <w:sz w:val="24"/>
          <w:szCs w:val="24"/>
        </w:rPr>
        <w:t xml:space="preserve"> /не е налице неравнопоставеност в случаите по чл. 44, ал. 5 от ЗОП</w:t>
      </w:r>
      <w:r w:rsidRPr="00F70346"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F70346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</w:t>
      </w:r>
      <w:r w:rsidR="00F70346" w:rsidRPr="00000781">
        <w:rPr>
          <w:rFonts w:ascii="Times New Roman" w:hAnsi="Times New Roman" w:cs="Times New Roman"/>
          <w:sz w:val="24"/>
          <w:szCs w:val="24"/>
        </w:rPr>
        <w:t>с който се доказва декларираната липса на основания за отстраняване или декларираното изпълнение на критериите за подбор</w:t>
      </w:r>
      <w:r w:rsidR="00F703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 xml:space="preserve">или чл. 13, ал. 1 от Закона за трудовата </w:t>
      </w:r>
      <w:r w:rsidR="00620C7C" w:rsidRPr="00774002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F70346">
        <w:rPr>
          <w:rFonts w:ascii="Times New Roman" w:hAnsi="Times New Roman" w:cs="Times New Roman"/>
          <w:sz w:val="24"/>
          <w:szCs w:val="24"/>
        </w:rPr>
        <w:t>ползвателят е</w:t>
      </w:r>
      <w:r w:rsidR="00F70346" w:rsidRPr="008C2310">
        <w:rPr>
          <w:rFonts w:ascii="Times New Roman" w:hAnsi="Times New Roman" w:cs="Times New Roman"/>
          <w:sz w:val="24"/>
          <w:szCs w:val="24"/>
        </w:rPr>
        <w:t xml:space="preserve">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F70346" w:rsidRDefault="00255B89" w:rsidP="00F70346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бенефициента, или аналогични задължения</w:t>
      </w:r>
      <w:r w:rsidR="004901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съгласно законодателството на държавата, в която бенефициентът е установен</w:t>
      </w:r>
      <w:r w:rsidR="00F70346">
        <w:rPr>
          <w:rFonts w:ascii="Times New Roman" w:hAnsi="Times New Roman" w:cs="Times New Roman"/>
          <w:sz w:val="24"/>
          <w:szCs w:val="24"/>
        </w:rPr>
        <w:t xml:space="preserve">, доказани с влязъл в сила акт на компетентен орган. </w:t>
      </w:r>
      <w:r w:rsidRPr="00F703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или към общината по седалището на бенефициента, или аналогични задължения</w:t>
      </w:r>
      <w:r w:rsidR="004901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съгласно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>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бенефициента, или аналогични задължения, съгласно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>но размерът на неплатените дължими данъци или социално</w:t>
      </w:r>
      <w:r w:rsidR="004901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осигурителни вноски е не повече от 1 на сто от сумата на годишния общ оборот за последната приключена финансова година</w:t>
      </w:r>
      <w:r w:rsidR="00F70346">
        <w:rPr>
          <w:rFonts w:ascii="Times New Roman" w:hAnsi="Times New Roman" w:cs="Times New Roman"/>
          <w:sz w:val="24"/>
          <w:szCs w:val="24"/>
        </w:rPr>
        <w:t>, но не повече от 50 000,00 лв.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255B89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подписва задължително от </w:t>
      </w:r>
      <w:r w:rsidR="00620C7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бенефициента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– ФЛ, от представляващия и управляващия ползвателя ЕТ, търговско дружество или юридическо лице</w:t>
      </w:r>
      <w:r w:rsidR="00202A1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Когато управляващите ползвателя са повече от едно лице, декларацията се попълва от всички лица – членове на управителните органи </w:t>
      </w:r>
      <w:r w:rsidR="00DF2006">
        <w:rPr>
          <w:rFonts w:ascii="Times New Roman" w:hAnsi="Times New Roman" w:cs="Times New Roman"/>
          <w:sz w:val="24"/>
          <w:szCs w:val="24"/>
        </w:rPr>
        <w:t xml:space="preserve">и надзорни органи 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 ползвателя, а в случай че членове са юридически лица – от техния представител в съответния управителен орган, както и от прокуристите и търговските пълномощници, когато има такива.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2BA" w:rsidRDefault="00EF62BA" w:rsidP="00255B89">
      <w:pPr>
        <w:spacing w:after="0" w:line="240" w:lineRule="auto"/>
      </w:pPr>
      <w:r>
        <w:separator/>
      </w:r>
    </w:p>
  </w:endnote>
  <w:endnote w:type="continuationSeparator" w:id="0">
    <w:p w:rsidR="00EF62BA" w:rsidRDefault="00EF62BA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2BA" w:rsidRDefault="00EF62BA" w:rsidP="00255B89">
      <w:pPr>
        <w:spacing w:after="0" w:line="240" w:lineRule="auto"/>
      </w:pPr>
      <w:r>
        <w:separator/>
      </w:r>
    </w:p>
  </w:footnote>
  <w:footnote w:type="continuationSeparator" w:id="0">
    <w:p w:rsidR="00EF62BA" w:rsidRDefault="00EF62BA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3E" w:rsidRDefault="005C4E3E" w:rsidP="005C4E3E">
    <w:pPr>
      <w:pStyle w:val="Header"/>
    </w:pPr>
    <w:r>
      <w:rPr>
        <w:noProof/>
        <w:lang w:val="en-US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val="en-US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33AFC"/>
    <w:rsid w:val="00202A18"/>
    <w:rsid w:val="002262D7"/>
    <w:rsid w:val="00255B89"/>
    <w:rsid w:val="00340E08"/>
    <w:rsid w:val="00474C7D"/>
    <w:rsid w:val="00490182"/>
    <w:rsid w:val="004D5EFF"/>
    <w:rsid w:val="005B114E"/>
    <w:rsid w:val="005C4E3E"/>
    <w:rsid w:val="00620C7C"/>
    <w:rsid w:val="007A6DD3"/>
    <w:rsid w:val="007F2967"/>
    <w:rsid w:val="00833834"/>
    <w:rsid w:val="008866A0"/>
    <w:rsid w:val="008C7EA9"/>
    <w:rsid w:val="008D15D3"/>
    <w:rsid w:val="008E6013"/>
    <w:rsid w:val="00925367"/>
    <w:rsid w:val="00A73157"/>
    <w:rsid w:val="00A831CF"/>
    <w:rsid w:val="00BE6925"/>
    <w:rsid w:val="00CA4E9D"/>
    <w:rsid w:val="00DF2006"/>
    <w:rsid w:val="00E126AC"/>
    <w:rsid w:val="00EF62BA"/>
    <w:rsid w:val="00F70346"/>
    <w:rsid w:val="00F7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Stanislav Banchev</cp:lastModifiedBy>
  <cp:revision>2</cp:revision>
  <dcterms:created xsi:type="dcterms:W3CDTF">2020-06-25T13:18:00Z</dcterms:created>
  <dcterms:modified xsi:type="dcterms:W3CDTF">2020-06-25T13:18:00Z</dcterms:modified>
</cp:coreProperties>
</file>